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  <w:t>ПАМЯТКА ПОЛЬЗОВАТЕЛЮ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дома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внутрипоселковых газопроводов, а уже потом строительство газопровода до границ земельных участков заявителей.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eastAsia="Times New Roman" w:ascii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  <w:br/>
        <w:t>№ Пр-907) поставлена цель обеспечить поэтапное завершение газификации России к 2024 и к 2030 году.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Сколько стоит «бесплатная газификация?»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случае, если Вы </w:t>
      </w:r>
      <w:r>
        <w:rPr>
          <w:rFonts w:eastAsia="Times New Roman" w:ascii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eastAsia="Times New Roman" w:ascii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cs="Times New Roman" w:ascii="Times New Roman" w:hAnsi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Это зависит от объема работ (согласно разработанного проекта, стоимость проекта – </w:t>
      </w:r>
      <w:r>
        <w:rPr>
          <w:rFonts w:cs="Times New Roman" w:ascii="Times New Roman" w:hAnsi="Times New Roman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5000 – </w:t>
      </w:r>
      <w:r>
        <w:rPr>
          <w:rFonts w:cs="Times New Roman" w:ascii="Times New Roman" w:hAnsi="Times New Roman"/>
          <w:sz w:val="28"/>
          <w:szCs w:val="28"/>
          <w:lang w:val="ru-RU"/>
        </w:rPr>
        <w:t>25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000 руб.)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Стоимость внутридомового газового оборудования: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плита – 6000 – 19000 руб.;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котел 24 кВт на 100 м3 двухконтурный для подачи тепла и ГВС – 12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>000 – 60000 руб.;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котел 12 кВт на 50 м3 двухконтурный для подачи тепла и ГВС – 7000 – 55000 руб.;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счетчик газовый 2500 – 5000 руб.;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сигнализатор загазованности 2500 – 5000 руб.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Стоимость монтажа зависит от мощности (согласно разработанного проекта),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Что мне нужно сделать чтобы получить газ?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Розничная цена для Приморского края – 6400,84 руб./тыс.м3 (Постановление Агентства по тарифам Приморского края №18/3 от 02.06.21)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Вырастет ли тариф?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Рост тарифов проходит только в соответствие с инфляцией, дополнительного увеличения, в связи с подключением, для граждан не будет.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Как подать заявку на догазификацию?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Куда обращаться?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2">
        <w:r>
          <w:rPr>
            <w:rStyle w:val="ListLabel1"/>
            <w:rFonts w:cs="Times New Roman" w:ascii="Times New Roman" w:hAnsi="Times New Roman"/>
            <w:sz w:val="28"/>
            <w:szCs w:val="28"/>
            <w:lang w:val="ru-RU"/>
          </w:rPr>
          <w:t>СОЦГАЗ.РФ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Какие документы нужны?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на бесплатную догазификацию.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before="240" w:after="1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Что такое ЕОГ и РОГа?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2240" w:h="15840"/>
      <w:pgMar w:left="1134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44761146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6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Style15" w:customStyle="1">
    <w:name w:val="Тема примечания Знак"/>
    <w:basedOn w:val="Style14"/>
    <w:link w:val="a7"/>
    <w:uiPriority w:val="99"/>
    <w:semiHidden/>
    <w:qFormat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c"/>
    <w:uiPriority w:val="99"/>
    <w:qFormat/>
    <w:rPr/>
  </w:style>
  <w:style w:type="character" w:styleId="Style19" w:customStyle="1">
    <w:name w:val="Нижний колонтитул Знак"/>
    <w:basedOn w:val="DefaultParagraphFont"/>
    <w:link w:val="ae"/>
    <w:uiPriority w:val="99"/>
    <w:qFormat/>
    <w:rPr/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  <w:lang w:val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ad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nectgas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53EF-C7C0-4424-9EBC-1B8F02B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LibreOffice/6.1.3.2$Linux_X86_64 LibreOffice_project/10$Build-2</Application>
  <Pages>6</Pages>
  <Words>1246</Words>
  <Characters>8801</Characters>
  <CharactersWithSpaces>10016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2021-07-23T00:28:00Z</dcterms:created>
  <dc:creator>Sorokin Pavel</dc:creator>
  <dc:description/>
  <dc:language>ru-RU</dc:language>
  <cp:lastModifiedBy/>
  <dcterms:modified xsi:type="dcterms:W3CDTF">2021-07-29T14:32:53Z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